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rtl w:val="0"/>
        </w:rPr>
        <w:t xml:space="preserve">HEALTH AND SAFETY PROGRAM (20+ Employees)</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has implemented a health and safety program </w:t>
      </w:r>
      <w:r w:rsidDel="00000000" w:rsidR="00000000" w:rsidRPr="00000000">
        <w:rPr>
          <w:rFonts w:ascii="Calibri" w:cs="Calibri" w:eastAsia="Calibri" w:hAnsi="Calibri"/>
          <w:highlight w:val="white"/>
          <w:rtl w:val="0"/>
        </w:rPr>
        <w:t xml:space="preserve">that is in full compliance with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(the Act) and in consultation with the Joint Occupational Health and Safety Committee (JOHSC).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roles have been sourced from the Act: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supervision of employees in matters necessary to their health and safety and the health and safety of other persons at the workplace;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written work procedures required to implement safe and healthy work practices, including those required pursuant to the Act, the regulations or by order of an officer, and identification of the types of work for which the procedures are required at the employer’s workplace;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for the establishment and continued operation of a committee required pursuant to this Act, including maintenance of records of membership, rules of procedure, access to a level of management with authority to resolve health and safety matters and any information required under this Act or the regulations to be maintained in relation to a committee;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selection and functions of a representative where required pursuant to this Act, including provision for access by the representative to a level of management with authority to resolve health and safety matters;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implement hazard identification system that includes: </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evaluation of the workplace to identify potential hazards, </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 procedures and schedules for regular inspections, </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(iii) procedures for ensuring the reporting of hazards and the accountability of persons responsible for the correction of hazards, and </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(iv) identification of the circumstances where hazards must be reported by the employer to the committee or representative, if any, and the procedures for doing so; </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workplace occupational health and safety monitoring, prompt follow-up and control of identified hazards;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the prompt investigation of hazardous occurrences to determine their causes and the actions needed to prevent recurrences; </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and statistics, including reports of occupational health and safety inspections and occupational health and safety investigations, with provision for making them available to persons entitled to receive them pursuant to the Act; and </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provision for monitoring the implementation and effectiveness of the program.</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Supervisor Responsibilities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health and safety of all workers under their direct supervision</w:t>
      </w: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Know and follow the requirements for supervision provided by the Act</w:t>
      </w: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Notify all workers under their supervision are made aware of all known or reasonably foreseeable health and safety hazards where they work</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sure PPE is available and properly utilized and worn as required and/ or properly inspected and maintained</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Investigate unsafe conditions reported to them and make sure action is taken to correct issues immediately</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follow all safe work procedures</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the JOHSC, the Act, or anyone else carrying out occupational health and safety duties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protective equipment, devices and clothes provided</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safely! Do not engage in horseplay or work while impaired by alcohol, drugs or other causes</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measures are in place at [Organization Name] to prevent injuries and occupational diseases.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measures]</w:t>
      </w:r>
    </w:p>
    <w:p w:rsidR="00000000" w:rsidDel="00000000" w:rsidP="00000000" w:rsidRDefault="00000000" w:rsidRPr="00000000" w14:paraId="0000003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jWnsblsMDKfF+eBow0xY5Se5Gg==">CgMxLjAyCGguZ2pkZ3hzMgloLjMwajB6bGw4AHIhMTYwQTFDa3VseHRVTFB3LTdSODRrT0VIWmRyWEFDaUNm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